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6A1" w:rsidRDefault="009F33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ОТЧЕТ правления СНТ Химик-2</w:t>
      </w:r>
    </w:p>
    <w:p w:rsidR="005016A1" w:rsidRDefault="009F339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о проведенных мероприятиях </w:t>
      </w:r>
    </w:p>
    <w:p w:rsidR="005016A1" w:rsidRDefault="009F33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2 полугодие 2025 года </w:t>
      </w:r>
    </w:p>
    <w:p w:rsidR="005016A1" w:rsidRDefault="009F339D">
      <w:pPr>
        <w:jc w:val="center"/>
        <w:rPr>
          <w:sz w:val="28"/>
          <w:szCs w:val="28"/>
        </w:rPr>
      </w:pPr>
      <w:r>
        <w:rPr>
          <w:sz w:val="28"/>
          <w:szCs w:val="28"/>
        </w:rPr>
        <w:t>(период с июля по декабрь 2025 года)</w:t>
      </w:r>
    </w:p>
    <w:p w:rsidR="005016A1" w:rsidRDefault="009F339D">
      <w:pPr>
        <w:rPr>
          <w:color w:val="404040" w:themeColor="text1" w:themeTint="BF"/>
          <w:sz w:val="28"/>
          <w:szCs w:val="28"/>
        </w:rPr>
      </w:pPr>
      <w:r>
        <w:rPr>
          <w:color w:val="404040" w:themeColor="text1" w:themeTint="BF"/>
          <w:sz w:val="28"/>
          <w:szCs w:val="28"/>
          <w:highlight w:val="yellow"/>
        </w:rPr>
        <w:t>Хозяйственная деятельность</w:t>
      </w:r>
    </w:p>
    <w:p w:rsidR="005016A1" w:rsidRDefault="009F339D" w:rsidP="00375209">
      <w:pPr>
        <w:pStyle w:val="afa"/>
        <w:numPr>
          <w:ilvl w:val="0"/>
          <w:numId w:val="1"/>
        </w:numPr>
        <w:spacing w:after="0"/>
        <w:rPr>
          <w:color w:val="404040" w:themeColor="text1" w:themeTint="BF"/>
          <w:sz w:val="28"/>
          <w:szCs w:val="28"/>
        </w:rPr>
      </w:pPr>
      <w:r>
        <w:rPr>
          <w:color w:val="404040" w:themeColor="text1" w:themeTint="BF"/>
          <w:sz w:val="28"/>
          <w:szCs w:val="28"/>
        </w:rPr>
        <w:t>Произведена замена забора по западной стороне протяженностью 70 метров.</w:t>
      </w:r>
    </w:p>
    <w:p w:rsidR="00C82577" w:rsidRDefault="00C82577" w:rsidP="00375209">
      <w:pPr>
        <w:pStyle w:val="afa"/>
        <w:numPr>
          <w:ilvl w:val="0"/>
          <w:numId w:val="1"/>
        </w:numPr>
        <w:spacing w:after="0"/>
        <w:rPr>
          <w:color w:val="404040" w:themeColor="text1" w:themeTint="BF"/>
          <w:sz w:val="28"/>
          <w:szCs w:val="28"/>
        </w:rPr>
      </w:pPr>
      <w:r w:rsidRPr="00C82577">
        <w:rPr>
          <w:color w:val="404040" w:themeColor="text1" w:themeTint="BF"/>
          <w:sz w:val="28"/>
          <w:szCs w:val="28"/>
        </w:rPr>
        <w:t>Осуществлялась подготовка ЗОП для продолжения замены забора.</w:t>
      </w:r>
    </w:p>
    <w:p w:rsidR="005016A1" w:rsidRPr="005A0BA2" w:rsidRDefault="009F339D" w:rsidP="00375209">
      <w:pPr>
        <w:pStyle w:val="afa"/>
        <w:numPr>
          <w:ilvl w:val="0"/>
          <w:numId w:val="1"/>
        </w:numPr>
        <w:spacing w:after="0"/>
        <w:rPr>
          <w:color w:val="404040" w:themeColor="text1" w:themeTint="BF"/>
          <w:sz w:val="28"/>
          <w:szCs w:val="28"/>
        </w:rPr>
      </w:pPr>
      <w:r w:rsidRPr="005A0BA2">
        <w:rPr>
          <w:color w:val="404040" w:themeColor="text1" w:themeTint="BF"/>
          <w:sz w:val="28"/>
          <w:szCs w:val="28"/>
        </w:rPr>
        <w:t>Дополнительно установлено 6 видеокамер, в том числе 2 штуки на пруду.</w:t>
      </w:r>
      <w:r w:rsidRPr="005A0BA2">
        <w:t xml:space="preserve"> </w:t>
      </w:r>
      <w:r w:rsidRPr="005A0BA2">
        <w:rPr>
          <w:color w:val="404040" w:themeColor="text1" w:themeTint="BF"/>
          <w:sz w:val="28"/>
          <w:szCs w:val="28"/>
        </w:rPr>
        <w:t>С возможностью качественной записи видеоматериала</w:t>
      </w:r>
      <w:r w:rsidR="005A0BA2" w:rsidRPr="005A0BA2">
        <w:rPr>
          <w:color w:val="404040" w:themeColor="text1" w:themeTint="BF"/>
          <w:sz w:val="28"/>
          <w:szCs w:val="28"/>
        </w:rPr>
        <w:t>, для передачи в правоохранительные органы в случае ЧП</w:t>
      </w:r>
      <w:r w:rsidRPr="005A0BA2">
        <w:rPr>
          <w:color w:val="404040" w:themeColor="text1" w:themeTint="BF"/>
          <w:sz w:val="28"/>
          <w:szCs w:val="28"/>
        </w:rPr>
        <w:t>.</w:t>
      </w:r>
    </w:p>
    <w:p w:rsidR="005016A1" w:rsidRPr="00E850A5" w:rsidRDefault="00C82577" w:rsidP="00375209">
      <w:pPr>
        <w:pStyle w:val="afa"/>
        <w:numPr>
          <w:ilvl w:val="0"/>
          <w:numId w:val="1"/>
        </w:numPr>
        <w:spacing w:after="0"/>
        <w:rPr>
          <w:color w:val="404040" w:themeColor="text1" w:themeTint="BF"/>
          <w:sz w:val="28"/>
          <w:szCs w:val="28"/>
        </w:rPr>
      </w:pPr>
      <w:r w:rsidRPr="00E850A5">
        <w:rPr>
          <w:color w:val="404040" w:themeColor="text1" w:themeTint="BF"/>
          <w:sz w:val="28"/>
          <w:szCs w:val="28"/>
        </w:rPr>
        <w:t xml:space="preserve">Содержание </w:t>
      </w:r>
      <w:r w:rsidR="005A0BA2" w:rsidRPr="00E850A5">
        <w:rPr>
          <w:color w:val="404040" w:themeColor="text1" w:themeTint="BF"/>
          <w:sz w:val="28"/>
          <w:szCs w:val="28"/>
        </w:rPr>
        <w:t>прилегающих территорий</w:t>
      </w:r>
      <w:r w:rsidR="009F339D" w:rsidRPr="00E850A5">
        <w:rPr>
          <w:color w:val="404040" w:themeColor="text1" w:themeTint="BF"/>
          <w:sz w:val="28"/>
          <w:szCs w:val="28"/>
        </w:rPr>
        <w:t xml:space="preserve"> на землях общего пользования</w:t>
      </w:r>
      <w:r w:rsidRPr="00E850A5">
        <w:rPr>
          <w:color w:val="404040" w:themeColor="text1" w:themeTint="BF"/>
          <w:sz w:val="28"/>
          <w:szCs w:val="28"/>
        </w:rPr>
        <w:t xml:space="preserve"> (</w:t>
      </w:r>
      <w:r w:rsidR="005A0BA2" w:rsidRPr="00E850A5">
        <w:rPr>
          <w:color w:val="404040" w:themeColor="text1" w:themeTint="BF"/>
          <w:sz w:val="28"/>
          <w:szCs w:val="28"/>
        </w:rPr>
        <w:t xml:space="preserve">уборка последствий непогоды, </w:t>
      </w:r>
      <w:r w:rsidRPr="00E850A5">
        <w:rPr>
          <w:color w:val="404040" w:themeColor="text1" w:themeTint="BF"/>
          <w:sz w:val="28"/>
          <w:szCs w:val="28"/>
        </w:rPr>
        <w:t>покос травы и формирование дорожки для свободного доступа к водозаборной колонке</w:t>
      </w:r>
      <w:r w:rsidR="00466E5F">
        <w:rPr>
          <w:color w:val="404040" w:themeColor="text1" w:themeTint="BF"/>
          <w:sz w:val="28"/>
          <w:szCs w:val="28"/>
        </w:rPr>
        <w:t>).</w:t>
      </w:r>
    </w:p>
    <w:p w:rsidR="005016A1" w:rsidRDefault="009F339D" w:rsidP="00375209">
      <w:pPr>
        <w:pStyle w:val="afa"/>
        <w:numPr>
          <w:ilvl w:val="0"/>
          <w:numId w:val="1"/>
        </w:numPr>
        <w:spacing w:after="0"/>
        <w:rPr>
          <w:color w:val="404040" w:themeColor="text1" w:themeTint="BF"/>
          <w:sz w:val="28"/>
          <w:szCs w:val="28"/>
        </w:rPr>
      </w:pPr>
      <w:r>
        <w:rPr>
          <w:color w:val="404040" w:themeColor="text1" w:themeTint="BF"/>
          <w:sz w:val="28"/>
          <w:szCs w:val="28"/>
        </w:rPr>
        <w:t xml:space="preserve">Произведена замена и монтаж счетчиков на участках </w:t>
      </w:r>
      <w:r w:rsidR="005A0BA2">
        <w:rPr>
          <w:color w:val="404040" w:themeColor="text1" w:themeTint="BF"/>
          <w:sz w:val="28"/>
          <w:szCs w:val="28"/>
        </w:rPr>
        <w:t>№</w:t>
      </w:r>
      <w:r>
        <w:rPr>
          <w:color w:val="404040" w:themeColor="text1" w:themeTint="BF"/>
          <w:sz w:val="28"/>
          <w:szCs w:val="28"/>
        </w:rPr>
        <w:t>№</w:t>
      </w:r>
      <w:r w:rsidR="005A0BA2">
        <w:rPr>
          <w:color w:val="404040" w:themeColor="text1" w:themeTint="BF"/>
          <w:sz w:val="28"/>
          <w:szCs w:val="28"/>
        </w:rPr>
        <w:t xml:space="preserve"> 3,</w:t>
      </w:r>
      <w:r>
        <w:rPr>
          <w:color w:val="404040" w:themeColor="text1" w:themeTint="BF"/>
          <w:sz w:val="28"/>
          <w:szCs w:val="28"/>
        </w:rPr>
        <w:t xml:space="preserve"> 72/1, 72/2. </w:t>
      </w:r>
    </w:p>
    <w:p w:rsidR="005016A1" w:rsidRPr="00DC6155" w:rsidRDefault="009F339D" w:rsidP="00375209">
      <w:pPr>
        <w:pStyle w:val="afa"/>
        <w:numPr>
          <w:ilvl w:val="0"/>
          <w:numId w:val="1"/>
        </w:numPr>
        <w:spacing w:after="0"/>
        <w:rPr>
          <w:rFonts w:ascii="Calibri" w:eastAsia="Calibri" w:hAnsi="Calibri" w:cs="Times New Roman"/>
          <w:color w:val="404040" w:themeColor="text1" w:themeTint="BF"/>
          <w:sz w:val="28"/>
          <w:szCs w:val="28"/>
        </w:rPr>
      </w:pPr>
      <w:r>
        <w:rPr>
          <w:color w:val="404040" w:themeColor="text1" w:themeTint="BF"/>
          <w:sz w:val="28"/>
          <w:szCs w:val="28"/>
        </w:rPr>
        <w:t xml:space="preserve">Продолжена работа по договору на обслуживание с ОАО «ОАСУ». На данный момент, по всем датчикам передаются показания и предоставляется выгрузка информации в электронном виде. </w:t>
      </w:r>
    </w:p>
    <w:p w:rsidR="00DC6155" w:rsidRDefault="00DC6155" w:rsidP="00375209">
      <w:pPr>
        <w:pStyle w:val="afa"/>
        <w:numPr>
          <w:ilvl w:val="0"/>
          <w:numId w:val="1"/>
        </w:numPr>
        <w:spacing w:after="0"/>
        <w:rPr>
          <w:rFonts w:ascii="Calibri" w:eastAsia="Calibri" w:hAnsi="Calibri" w:cs="Times New Roman"/>
          <w:color w:val="404040" w:themeColor="text1" w:themeTint="BF"/>
          <w:sz w:val="28"/>
          <w:szCs w:val="28"/>
        </w:rPr>
      </w:pPr>
      <w:r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>Проводится постоянная</w:t>
      </w:r>
      <w:r w:rsidRPr="00DC6155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 xml:space="preserve"> работа с </w:t>
      </w:r>
      <w:r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 xml:space="preserve">поставщиками энергоресурсов- </w:t>
      </w:r>
      <w:r w:rsidRPr="00DC6155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 xml:space="preserve">АО Мосэнерго, Филиал ПАО </w:t>
      </w:r>
      <w:r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>«</w:t>
      </w:r>
      <w:r w:rsidRPr="00DC6155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 xml:space="preserve">Россети Московский регион- Южные </w:t>
      </w:r>
      <w:r w:rsidR="000B09D9" w:rsidRPr="00DC6155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>электросети</w:t>
      </w:r>
      <w:r w:rsidR="000B09D9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>»</w:t>
      </w:r>
      <w:r w:rsidR="000B09D9" w:rsidRPr="00DC6155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 xml:space="preserve"> по</w:t>
      </w:r>
      <w:r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 xml:space="preserve"> информированию об изменениях и улучшению предоставляемых услуг. </w:t>
      </w:r>
    </w:p>
    <w:p w:rsidR="005016A1" w:rsidRPr="00466E5F" w:rsidRDefault="005A0BA2" w:rsidP="005B3281">
      <w:pPr>
        <w:pStyle w:val="afa"/>
        <w:numPr>
          <w:ilvl w:val="0"/>
          <w:numId w:val="1"/>
        </w:numPr>
        <w:spacing w:after="0"/>
        <w:rPr>
          <w:rFonts w:ascii="Calibri" w:eastAsia="Calibri" w:hAnsi="Calibri" w:cs="Times New Roman"/>
          <w:color w:val="404040" w:themeColor="text1" w:themeTint="BF"/>
          <w:sz w:val="28"/>
          <w:szCs w:val="28"/>
        </w:rPr>
      </w:pPr>
      <w:r w:rsidRPr="00466E5F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>Обслуживание летнего водопровода и подготовка водозабора и линий водопровода к зимнему периоду. Устранение</w:t>
      </w:r>
      <w:r w:rsidR="009F339D" w:rsidRPr="00466E5F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 xml:space="preserve"> небо</w:t>
      </w:r>
      <w:r w:rsidRPr="00466E5F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>льших</w:t>
      </w:r>
      <w:r w:rsidR="009F339D" w:rsidRPr="00466E5F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 xml:space="preserve"> авари</w:t>
      </w:r>
      <w:r w:rsidR="001B78ED" w:rsidRPr="00466E5F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>и</w:t>
      </w:r>
      <w:r w:rsidR="009F339D" w:rsidRPr="00466E5F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 xml:space="preserve"> на территории участков</w:t>
      </w:r>
      <w:r w:rsidRPr="00466E5F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 xml:space="preserve"> и ЗОП</w:t>
      </w:r>
      <w:r w:rsidR="009F339D" w:rsidRPr="00466E5F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 xml:space="preserve">, по всей длине   водопровода. </w:t>
      </w:r>
    </w:p>
    <w:p w:rsidR="005016A1" w:rsidRDefault="00375209" w:rsidP="00375209">
      <w:pPr>
        <w:pStyle w:val="afa"/>
        <w:numPr>
          <w:ilvl w:val="0"/>
          <w:numId w:val="1"/>
        </w:numPr>
        <w:spacing w:after="0"/>
        <w:rPr>
          <w:rFonts w:ascii="Calibri" w:eastAsia="Calibri" w:hAnsi="Calibri" w:cs="Times New Roman"/>
          <w:color w:val="404040" w:themeColor="text1" w:themeTint="BF"/>
          <w:sz w:val="28"/>
          <w:szCs w:val="28"/>
        </w:rPr>
      </w:pPr>
      <w:r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 xml:space="preserve"> </w:t>
      </w:r>
      <w:r w:rsidR="009F339D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 xml:space="preserve">Заключен договор на оказание услуг по уборке снега в зимний период 2025-  2026г (трактор СНТ ЗИЛ).   </w:t>
      </w:r>
    </w:p>
    <w:p w:rsidR="005016A1" w:rsidRDefault="00375209" w:rsidP="00375209">
      <w:pPr>
        <w:spacing w:after="0"/>
        <w:ind w:left="426" w:hanging="426"/>
        <w:rPr>
          <w:rFonts w:ascii="Calibri" w:eastAsia="Calibri" w:hAnsi="Calibri" w:cs="Times New Roman"/>
          <w:color w:val="404040" w:themeColor="text1" w:themeTint="BF"/>
          <w:sz w:val="28"/>
          <w:szCs w:val="28"/>
        </w:rPr>
      </w:pPr>
      <w:r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>12</w:t>
      </w:r>
      <w:r w:rsidR="009F339D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 xml:space="preserve">.  </w:t>
      </w:r>
      <w:r w:rsidR="000A5C4E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 xml:space="preserve">Поддержание работы сайта и групп в </w:t>
      </w:r>
      <w:r w:rsidR="000B09D9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>мессенджерах</w:t>
      </w:r>
      <w:r w:rsidR="000A5C4E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 xml:space="preserve"> для </w:t>
      </w:r>
      <w:r w:rsidR="002A38D5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 xml:space="preserve">размещения полезной информации, новостей, объявлений, а </w:t>
      </w:r>
      <w:r w:rsidR="000B09D9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>также</w:t>
      </w:r>
      <w:r w:rsidR="002A38D5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 xml:space="preserve"> уведомления задолженностей и обязательных платежах за потребленные услуги</w:t>
      </w:r>
    </w:p>
    <w:p w:rsidR="005016A1" w:rsidRDefault="00375209" w:rsidP="00375209">
      <w:pPr>
        <w:spacing w:after="0"/>
        <w:ind w:left="426" w:hanging="426"/>
        <w:rPr>
          <w:rFonts w:ascii="Calibri" w:eastAsia="Calibri" w:hAnsi="Calibri" w:cs="Times New Roman"/>
          <w:color w:val="404040" w:themeColor="text1" w:themeTint="BF"/>
          <w:sz w:val="28"/>
          <w:szCs w:val="28"/>
        </w:rPr>
      </w:pPr>
      <w:r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>13</w:t>
      </w:r>
      <w:r w:rsidR="009F339D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 xml:space="preserve">. </w:t>
      </w:r>
      <w:r w:rsidR="001B78ED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 xml:space="preserve"> </w:t>
      </w:r>
      <w:r w:rsidR="009F339D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>Имелась постоянная возможность диалога с членами Правления и Председателем, по возникающим текущим вопросам.</w:t>
      </w:r>
    </w:p>
    <w:p w:rsidR="005016A1" w:rsidRDefault="009F339D" w:rsidP="00375209">
      <w:pPr>
        <w:spacing w:after="0"/>
        <w:ind w:left="426" w:hanging="426"/>
        <w:rPr>
          <w:rFonts w:ascii="Calibri" w:eastAsia="Calibri" w:hAnsi="Calibri" w:cs="Times New Roman"/>
          <w:color w:val="404040" w:themeColor="text1" w:themeTint="BF"/>
          <w:sz w:val="28"/>
          <w:szCs w:val="28"/>
        </w:rPr>
      </w:pPr>
      <w:r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>1</w:t>
      </w:r>
      <w:r w:rsidR="00375209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>4</w:t>
      </w:r>
      <w:r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 xml:space="preserve">.  В выходные дни летнего периода, организован стабильный график по вывозу ТБО. </w:t>
      </w:r>
    </w:p>
    <w:p w:rsidR="005016A1" w:rsidRDefault="009F339D" w:rsidP="00375209">
      <w:pPr>
        <w:spacing w:after="0"/>
        <w:ind w:left="426" w:hanging="426"/>
        <w:rPr>
          <w:rFonts w:ascii="Calibri" w:eastAsia="Calibri" w:hAnsi="Calibri" w:cs="Times New Roman"/>
          <w:color w:val="404040" w:themeColor="text1" w:themeTint="BF"/>
          <w:sz w:val="28"/>
          <w:szCs w:val="28"/>
        </w:rPr>
      </w:pPr>
      <w:r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>1</w:t>
      </w:r>
      <w:r w:rsidR="00375209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>5</w:t>
      </w:r>
      <w:r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 xml:space="preserve">. К праздникам Нового года и Рождество оформлялась въездная группа в СНТ (иллюминация, </w:t>
      </w:r>
      <w:r w:rsidR="000B09D9"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>баннер</w:t>
      </w:r>
      <w:r>
        <w:rPr>
          <w:rFonts w:ascii="Calibri" w:eastAsia="Calibri" w:hAnsi="Calibri" w:cs="Times New Roman"/>
          <w:color w:val="404040" w:themeColor="text1" w:themeTint="BF"/>
          <w:sz w:val="28"/>
          <w:szCs w:val="28"/>
        </w:rPr>
        <w:t>)</w:t>
      </w:r>
    </w:p>
    <w:p w:rsidR="00375209" w:rsidRDefault="00375209" w:rsidP="00375209">
      <w:pPr>
        <w:spacing w:after="0"/>
        <w:ind w:left="426" w:hanging="426"/>
        <w:rPr>
          <w:rFonts w:ascii="Calibri" w:eastAsia="Calibri" w:hAnsi="Calibri" w:cs="Times New Roman"/>
          <w:color w:val="404040" w:themeColor="text1" w:themeTint="BF"/>
          <w:sz w:val="28"/>
          <w:szCs w:val="28"/>
        </w:rPr>
      </w:pPr>
    </w:p>
    <w:p w:rsidR="000B09D9" w:rsidRDefault="000B09D9" w:rsidP="00375209">
      <w:pPr>
        <w:spacing w:after="0"/>
        <w:ind w:left="426" w:hanging="426"/>
        <w:rPr>
          <w:rFonts w:ascii="Calibri" w:eastAsia="Calibri" w:hAnsi="Calibri" w:cs="Times New Roman"/>
          <w:color w:val="404040" w:themeColor="text1" w:themeTint="BF"/>
          <w:sz w:val="28"/>
          <w:szCs w:val="28"/>
        </w:rPr>
      </w:pPr>
    </w:p>
    <w:p w:rsidR="000B09D9" w:rsidRDefault="000B09D9" w:rsidP="00375209">
      <w:pPr>
        <w:spacing w:after="0"/>
        <w:ind w:left="426" w:hanging="426"/>
        <w:rPr>
          <w:rFonts w:ascii="Calibri" w:eastAsia="Calibri" w:hAnsi="Calibri" w:cs="Times New Roman"/>
          <w:color w:val="404040" w:themeColor="text1" w:themeTint="BF"/>
          <w:sz w:val="28"/>
          <w:szCs w:val="28"/>
        </w:rPr>
      </w:pPr>
    </w:p>
    <w:p w:rsidR="000B09D9" w:rsidRDefault="000B09D9" w:rsidP="00375209">
      <w:pPr>
        <w:spacing w:after="0"/>
        <w:ind w:left="426" w:hanging="426"/>
        <w:rPr>
          <w:rFonts w:ascii="Calibri" w:eastAsia="Calibri" w:hAnsi="Calibri" w:cs="Times New Roman"/>
          <w:color w:val="404040" w:themeColor="text1" w:themeTint="BF"/>
          <w:sz w:val="28"/>
          <w:szCs w:val="28"/>
        </w:rPr>
      </w:pPr>
    </w:p>
    <w:p w:rsidR="000B09D9" w:rsidRDefault="000B09D9" w:rsidP="00375209">
      <w:pPr>
        <w:spacing w:after="0"/>
        <w:ind w:left="426" w:hanging="426"/>
        <w:rPr>
          <w:rFonts w:ascii="Calibri" w:eastAsia="Calibri" w:hAnsi="Calibri" w:cs="Times New Roman"/>
          <w:color w:val="404040" w:themeColor="text1" w:themeTint="BF"/>
          <w:sz w:val="28"/>
          <w:szCs w:val="28"/>
        </w:rPr>
      </w:pPr>
    </w:p>
    <w:p w:rsidR="005016A1" w:rsidRDefault="005016A1">
      <w:pPr>
        <w:pStyle w:val="afa"/>
        <w:ind w:left="993" w:hanging="993"/>
        <w:rPr>
          <w:rFonts w:ascii="Calibri" w:eastAsia="Calibri" w:hAnsi="Calibri" w:cs="Times New Roman"/>
          <w:color w:val="00B050"/>
          <w:sz w:val="28"/>
          <w:szCs w:val="28"/>
          <w:highlight w:val="yellow"/>
        </w:rPr>
      </w:pPr>
    </w:p>
    <w:p w:rsidR="005016A1" w:rsidRDefault="009F339D">
      <w:pPr>
        <w:pStyle w:val="afa"/>
        <w:ind w:left="1134" w:hanging="1134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  <w:highlight w:val="yellow"/>
        </w:rPr>
        <w:t>Экономическая деятельность</w:t>
      </w:r>
    </w:p>
    <w:p w:rsidR="005016A1" w:rsidRDefault="005016A1">
      <w:pPr>
        <w:pStyle w:val="afa"/>
        <w:ind w:left="993" w:hanging="633"/>
        <w:rPr>
          <w:rFonts w:ascii="Calibri" w:eastAsia="Calibri" w:hAnsi="Calibri" w:cs="Times New Roman"/>
          <w:sz w:val="28"/>
          <w:szCs w:val="28"/>
        </w:rPr>
      </w:pPr>
    </w:p>
    <w:p w:rsidR="005016A1" w:rsidRDefault="009F339D">
      <w:pPr>
        <w:pStyle w:val="afa"/>
        <w:ind w:left="993" w:hanging="633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1.</w:t>
      </w:r>
      <w:r>
        <w:rPr>
          <w:rFonts w:ascii="Calibri" w:eastAsia="Calibri" w:hAnsi="Calibri" w:cs="Times New Roman"/>
          <w:sz w:val="28"/>
          <w:szCs w:val="28"/>
        </w:rPr>
        <w:tab/>
        <w:t xml:space="preserve">Своевременная подача бухгалтерской и налоговой отчетности, а также уплата необходимых налогов и сборов, согласно НК РФ </w:t>
      </w:r>
    </w:p>
    <w:p w:rsidR="005016A1" w:rsidRDefault="009F339D">
      <w:pPr>
        <w:pStyle w:val="afa"/>
        <w:ind w:left="993" w:hanging="633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2.</w:t>
      </w:r>
      <w:r>
        <w:rPr>
          <w:rFonts w:ascii="Calibri" w:eastAsia="Calibri" w:hAnsi="Calibri" w:cs="Times New Roman"/>
          <w:sz w:val="28"/>
          <w:szCs w:val="28"/>
        </w:rPr>
        <w:tab/>
        <w:t>Ежемесячно передаются показания в Мосэнерго о расходе электроэнергии.</w:t>
      </w:r>
    </w:p>
    <w:p w:rsidR="005016A1" w:rsidRDefault="009F339D">
      <w:pPr>
        <w:pStyle w:val="afa"/>
        <w:ind w:left="993" w:hanging="633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3.      Ежеквартально сдается отчетность по форме 4-ЛС и журнал учета водопотребления в Роснедра, через личный кабинет </w:t>
      </w:r>
      <w:r w:rsidR="000B09D9">
        <w:rPr>
          <w:rFonts w:ascii="Calibri" w:eastAsia="Calibri" w:hAnsi="Calibri" w:cs="Times New Roman"/>
          <w:sz w:val="28"/>
          <w:szCs w:val="28"/>
        </w:rPr>
        <w:t>недропользователя</w:t>
      </w:r>
      <w:r>
        <w:rPr>
          <w:rFonts w:ascii="Calibri" w:eastAsia="Calibri" w:hAnsi="Calibri" w:cs="Times New Roman"/>
          <w:sz w:val="28"/>
          <w:szCs w:val="28"/>
        </w:rPr>
        <w:t>.</w:t>
      </w:r>
    </w:p>
    <w:p w:rsidR="005016A1" w:rsidRDefault="009F339D">
      <w:pPr>
        <w:pStyle w:val="afa"/>
        <w:ind w:left="993" w:hanging="633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4.      С ИФНС регулярно проводятся сверки по налогам и сборам через личный кабинет налогоплательщика. </w:t>
      </w:r>
    </w:p>
    <w:p w:rsidR="005016A1" w:rsidRDefault="009F339D">
      <w:pPr>
        <w:pStyle w:val="afa"/>
        <w:ind w:left="993" w:hanging="633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6.</w:t>
      </w:r>
      <w:r>
        <w:rPr>
          <w:rFonts w:ascii="Calibri" w:eastAsia="Calibri" w:hAnsi="Calibri" w:cs="Times New Roman"/>
          <w:sz w:val="28"/>
          <w:szCs w:val="28"/>
        </w:rPr>
        <w:tab/>
        <w:t xml:space="preserve">Заключаются договора на выполняемые работы, производится оплата по </w:t>
      </w:r>
      <w:bookmarkStart w:id="0" w:name="_GoBack"/>
      <w:bookmarkEnd w:id="0"/>
      <w:r>
        <w:rPr>
          <w:rFonts w:ascii="Calibri" w:eastAsia="Calibri" w:hAnsi="Calibri" w:cs="Times New Roman"/>
          <w:sz w:val="28"/>
          <w:szCs w:val="28"/>
        </w:rPr>
        <w:t>данным договорам, составляются акты выполненных работ.</w:t>
      </w:r>
    </w:p>
    <w:p w:rsidR="005016A1" w:rsidRDefault="009F339D">
      <w:pPr>
        <w:pStyle w:val="afa"/>
        <w:ind w:left="993" w:hanging="633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6.</w:t>
      </w:r>
      <w:r>
        <w:rPr>
          <w:rFonts w:ascii="Calibri" w:eastAsia="Calibri" w:hAnsi="Calibri" w:cs="Times New Roman"/>
          <w:sz w:val="28"/>
          <w:szCs w:val="28"/>
        </w:rPr>
        <w:tab/>
        <w:t>Ежемесячно производится оплата по заключенным договорам с поставщиками услуг (электроэнергия, вывоз мусора).</w:t>
      </w:r>
    </w:p>
    <w:p w:rsidR="005016A1" w:rsidRDefault="009F339D">
      <w:pPr>
        <w:pStyle w:val="afa"/>
        <w:ind w:left="993" w:hanging="633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7.       Ежеквартально проводится сверка расчетов по произведенным начислениям и платежам с Мосэнерго и КРО.</w:t>
      </w:r>
    </w:p>
    <w:p w:rsidR="005016A1" w:rsidRDefault="009F339D">
      <w:pPr>
        <w:pStyle w:val="afa"/>
        <w:ind w:left="993" w:hanging="633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7.</w:t>
      </w:r>
      <w:r>
        <w:rPr>
          <w:rFonts w:ascii="Calibri" w:eastAsia="Calibri" w:hAnsi="Calibri" w:cs="Times New Roman"/>
          <w:sz w:val="28"/>
          <w:szCs w:val="28"/>
        </w:rPr>
        <w:tab/>
        <w:t>Ведется активная работа с должниками, рассылается информация по доступным контактам</w:t>
      </w:r>
    </w:p>
    <w:p w:rsidR="005016A1" w:rsidRDefault="009F339D">
      <w:pPr>
        <w:pStyle w:val="afa"/>
        <w:ind w:left="993" w:hanging="633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8.</w:t>
      </w:r>
      <w:r>
        <w:rPr>
          <w:rFonts w:ascii="Calibri" w:eastAsia="Calibri" w:hAnsi="Calibri" w:cs="Times New Roman"/>
          <w:sz w:val="28"/>
          <w:szCs w:val="28"/>
        </w:rPr>
        <w:tab/>
        <w:t>Ведется учет выполнения сметы на период 2025 -2026 гг.</w:t>
      </w:r>
    </w:p>
    <w:p w:rsidR="005016A1" w:rsidRDefault="009F339D">
      <w:pPr>
        <w:pStyle w:val="afa"/>
        <w:ind w:left="993" w:hanging="633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9.       Бухгалтерский и налоговый учет ведется в полном объеме с использованием программы 1С.</w:t>
      </w:r>
    </w:p>
    <w:p w:rsidR="005016A1" w:rsidRDefault="009F339D">
      <w:pPr>
        <w:pStyle w:val="afa"/>
        <w:ind w:left="993" w:hanging="633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10.     Связь с контрагентами осуществляются по системе ЭДО (электронный документооборот)</w:t>
      </w:r>
    </w:p>
    <w:p w:rsidR="005016A1" w:rsidRDefault="009F339D">
      <w:pPr>
        <w:pStyle w:val="afa"/>
        <w:ind w:left="993" w:hanging="633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11.     Бухгалтерская и налоговая отчетность сдается по ТКС через оператора СБИС.</w:t>
      </w:r>
    </w:p>
    <w:p w:rsidR="005016A1" w:rsidRDefault="005016A1">
      <w:pPr>
        <w:pStyle w:val="afa"/>
        <w:ind w:left="993" w:hanging="633"/>
        <w:rPr>
          <w:rFonts w:ascii="Calibri" w:eastAsia="Calibri" w:hAnsi="Calibri" w:cs="Times New Roman"/>
          <w:sz w:val="28"/>
          <w:szCs w:val="28"/>
        </w:rPr>
      </w:pPr>
    </w:p>
    <w:sectPr w:rsidR="005016A1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6A1" w:rsidRDefault="009F339D">
      <w:pPr>
        <w:spacing w:after="0" w:line="240" w:lineRule="auto"/>
      </w:pPr>
      <w:r>
        <w:separator/>
      </w:r>
    </w:p>
  </w:endnote>
  <w:endnote w:type="continuationSeparator" w:id="0">
    <w:p w:rsidR="005016A1" w:rsidRDefault="009F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6A1" w:rsidRDefault="009F339D">
      <w:pPr>
        <w:spacing w:after="0" w:line="240" w:lineRule="auto"/>
      </w:pPr>
      <w:r>
        <w:separator/>
      </w:r>
    </w:p>
  </w:footnote>
  <w:footnote w:type="continuationSeparator" w:id="0">
    <w:p w:rsidR="005016A1" w:rsidRDefault="009F3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B65DD"/>
    <w:multiLevelType w:val="hybridMultilevel"/>
    <w:tmpl w:val="45BA54DC"/>
    <w:lvl w:ilvl="0" w:tplc="FA8ED79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1E4CC718">
      <w:start w:val="1"/>
      <w:numFmt w:val="lowerLetter"/>
      <w:lvlText w:val="%2."/>
      <w:lvlJc w:val="left"/>
      <w:pPr>
        <w:ind w:left="1440" w:hanging="360"/>
      </w:pPr>
    </w:lvl>
    <w:lvl w:ilvl="2" w:tplc="9CB8D4C2">
      <w:start w:val="1"/>
      <w:numFmt w:val="lowerRoman"/>
      <w:lvlText w:val="%3."/>
      <w:lvlJc w:val="right"/>
      <w:pPr>
        <w:ind w:left="2160" w:hanging="180"/>
      </w:pPr>
    </w:lvl>
    <w:lvl w:ilvl="3" w:tplc="9BAA49D2">
      <w:start w:val="1"/>
      <w:numFmt w:val="decimal"/>
      <w:lvlText w:val="%4."/>
      <w:lvlJc w:val="left"/>
      <w:pPr>
        <w:ind w:left="2880" w:hanging="360"/>
      </w:pPr>
    </w:lvl>
    <w:lvl w:ilvl="4" w:tplc="8402E03E">
      <w:start w:val="1"/>
      <w:numFmt w:val="lowerLetter"/>
      <w:lvlText w:val="%5."/>
      <w:lvlJc w:val="left"/>
      <w:pPr>
        <w:ind w:left="3600" w:hanging="360"/>
      </w:pPr>
    </w:lvl>
    <w:lvl w:ilvl="5" w:tplc="6C4E64DC">
      <w:start w:val="1"/>
      <w:numFmt w:val="lowerRoman"/>
      <w:lvlText w:val="%6."/>
      <w:lvlJc w:val="right"/>
      <w:pPr>
        <w:ind w:left="4320" w:hanging="180"/>
      </w:pPr>
    </w:lvl>
    <w:lvl w:ilvl="6" w:tplc="C8DA049A">
      <w:start w:val="1"/>
      <w:numFmt w:val="decimal"/>
      <w:lvlText w:val="%7."/>
      <w:lvlJc w:val="left"/>
      <w:pPr>
        <w:ind w:left="5040" w:hanging="360"/>
      </w:pPr>
    </w:lvl>
    <w:lvl w:ilvl="7" w:tplc="EB580EB2">
      <w:start w:val="1"/>
      <w:numFmt w:val="lowerLetter"/>
      <w:lvlText w:val="%8."/>
      <w:lvlJc w:val="left"/>
      <w:pPr>
        <w:ind w:left="5760" w:hanging="360"/>
      </w:pPr>
    </w:lvl>
    <w:lvl w:ilvl="8" w:tplc="464E88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66992"/>
    <w:multiLevelType w:val="hybridMultilevel"/>
    <w:tmpl w:val="A2CC0590"/>
    <w:lvl w:ilvl="0" w:tplc="AE1C1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1A4F30">
      <w:start w:val="1"/>
      <w:numFmt w:val="lowerLetter"/>
      <w:lvlText w:val="%2."/>
      <w:lvlJc w:val="left"/>
      <w:pPr>
        <w:ind w:left="1080" w:hanging="360"/>
      </w:pPr>
    </w:lvl>
    <w:lvl w:ilvl="2" w:tplc="60669AD2">
      <w:start w:val="1"/>
      <w:numFmt w:val="lowerRoman"/>
      <w:lvlText w:val="%3."/>
      <w:lvlJc w:val="right"/>
      <w:pPr>
        <w:ind w:left="1800" w:hanging="180"/>
      </w:pPr>
    </w:lvl>
    <w:lvl w:ilvl="3" w:tplc="16F4FFC4">
      <w:start w:val="1"/>
      <w:numFmt w:val="decimal"/>
      <w:lvlText w:val="%4."/>
      <w:lvlJc w:val="left"/>
      <w:pPr>
        <w:ind w:left="2520" w:hanging="360"/>
      </w:pPr>
    </w:lvl>
    <w:lvl w:ilvl="4" w:tplc="A7EEE82A">
      <w:start w:val="1"/>
      <w:numFmt w:val="lowerLetter"/>
      <w:lvlText w:val="%5."/>
      <w:lvlJc w:val="left"/>
      <w:pPr>
        <w:ind w:left="3240" w:hanging="360"/>
      </w:pPr>
    </w:lvl>
    <w:lvl w:ilvl="5" w:tplc="205E33D4">
      <w:start w:val="1"/>
      <w:numFmt w:val="lowerRoman"/>
      <w:lvlText w:val="%6."/>
      <w:lvlJc w:val="right"/>
      <w:pPr>
        <w:ind w:left="3960" w:hanging="180"/>
      </w:pPr>
    </w:lvl>
    <w:lvl w:ilvl="6" w:tplc="B93A59DA">
      <w:start w:val="1"/>
      <w:numFmt w:val="decimal"/>
      <w:lvlText w:val="%7."/>
      <w:lvlJc w:val="left"/>
      <w:pPr>
        <w:ind w:left="4680" w:hanging="360"/>
      </w:pPr>
    </w:lvl>
    <w:lvl w:ilvl="7" w:tplc="6A6ABDB2">
      <w:start w:val="1"/>
      <w:numFmt w:val="lowerLetter"/>
      <w:lvlText w:val="%8."/>
      <w:lvlJc w:val="left"/>
      <w:pPr>
        <w:ind w:left="5400" w:hanging="360"/>
      </w:pPr>
    </w:lvl>
    <w:lvl w:ilvl="8" w:tplc="DEE6DD9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A1"/>
    <w:rsid w:val="000A5C4E"/>
    <w:rsid w:val="000B09D9"/>
    <w:rsid w:val="001B78ED"/>
    <w:rsid w:val="002A38D5"/>
    <w:rsid w:val="00375209"/>
    <w:rsid w:val="00466E5F"/>
    <w:rsid w:val="005016A1"/>
    <w:rsid w:val="005A0BA2"/>
    <w:rsid w:val="008876B0"/>
    <w:rsid w:val="009F339D"/>
    <w:rsid w:val="00C82577"/>
    <w:rsid w:val="00DC6155"/>
    <w:rsid w:val="00E8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1400"/>
  <w15:docId w15:val="{1C94D964-5470-459A-A22A-F1CFBA8A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1</cp:lastModifiedBy>
  <cp:revision>7</cp:revision>
  <dcterms:created xsi:type="dcterms:W3CDTF">2026-01-26T16:49:00Z</dcterms:created>
  <dcterms:modified xsi:type="dcterms:W3CDTF">2026-01-30T13:18:00Z</dcterms:modified>
</cp:coreProperties>
</file>